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576.000000000002" w:type="dxa"/>
        <w:jc w:val="left"/>
        <w:tblInd w:w="0.0" w:type="dxa"/>
        <w:tblBorders>
          <w:top w:color="000000" w:space="0" w:sz="4" w:val="single"/>
          <w:left w:color="000000" w:space="0" w:sz="0" w:val="nil"/>
          <w:bottom w:color="000000" w:space="0" w:sz="4" w:val="single"/>
          <w:right w:color="000000" w:space="0" w:sz="0" w:val="nil"/>
          <w:insideH w:color="000000" w:space="0" w:sz="0" w:val="nil"/>
          <w:insideV w:color="000000" w:space="0" w:sz="0" w:val="nil"/>
        </w:tblBorders>
        <w:tblLayout w:type="fixed"/>
        <w:tblLook w:val="0400"/>
      </w:tblPr>
      <w:tblGrid>
        <w:gridCol w:w="1163"/>
        <w:gridCol w:w="364"/>
        <w:gridCol w:w="64"/>
        <w:gridCol w:w="2756"/>
        <w:gridCol w:w="2661"/>
        <w:gridCol w:w="492"/>
        <w:gridCol w:w="2076"/>
        <w:tblGridChange w:id="0">
          <w:tblGrid>
            <w:gridCol w:w="1163"/>
            <w:gridCol w:w="364"/>
            <w:gridCol w:w="64"/>
            <w:gridCol w:w="2756"/>
            <w:gridCol w:w="2661"/>
            <w:gridCol w:w="492"/>
            <w:gridCol w:w="2076"/>
          </w:tblGrid>
        </w:tblGridChange>
      </w:tblGrid>
      <w:tr>
        <w:tc>
          <w:tcPr/>
          <w:p w:rsidR="00000000" w:rsidDel="00000000" w:rsidP="00000000" w:rsidRDefault="00000000" w:rsidRPr="00000000" w14:paraId="00000002">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Subject:</w:t>
            </w:r>
          </w:p>
        </w:tc>
        <w:tc>
          <w:tcPr>
            <w:gridSpan w:val="3"/>
          </w:tcPr>
          <w:p w:rsidR="00000000" w:rsidDel="00000000" w:rsidP="00000000" w:rsidRDefault="00000000" w:rsidRPr="00000000" w14:paraId="00000003">
            <w:pPr>
              <w:rPr>
                <w:rFonts w:ascii="Arial" w:cs="Arial" w:eastAsia="Arial" w:hAnsi="Arial"/>
                <w:sz w:val="24"/>
                <w:szCs w:val="24"/>
              </w:rPr>
            </w:pPr>
            <w:r w:rsidDel="00000000" w:rsidR="00000000" w:rsidRPr="00000000">
              <w:rPr>
                <w:rFonts w:ascii="Arial" w:cs="Arial" w:eastAsia="Arial" w:hAnsi="Arial"/>
                <w:sz w:val="24"/>
                <w:szCs w:val="24"/>
                <w:rtl w:val="0"/>
              </w:rPr>
              <w:t xml:space="preserve">Syncope/Bruising</w:t>
            </w:r>
          </w:p>
        </w:tc>
        <w:tc>
          <w:tcPr/>
          <w:p w:rsidR="00000000" w:rsidDel="00000000" w:rsidP="00000000" w:rsidRDefault="00000000" w:rsidRPr="00000000" w14:paraId="00000006">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Origin Date:</w:t>
            </w:r>
          </w:p>
        </w:tc>
        <w:tc>
          <w:tcPr>
            <w:gridSpan w:val="2"/>
          </w:tcPr>
          <w:p w:rsidR="00000000" w:rsidDel="00000000" w:rsidP="00000000" w:rsidRDefault="00000000" w:rsidRPr="00000000" w14:paraId="00000007">
            <w:pPr>
              <w:rPr>
                <w:rFonts w:ascii="Arial" w:cs="Arial" w:eastAsia="Arial" w:hAnsi="Arial"/>
                <w:sz w:val="24"/>
                <w:szCs w:val="24"/>
              </w:rPr>
            </w:pPr>
            <w:r w:rsidDel="00000000" w:rsidR="00000000" w:rsidRPr="00000000">
              <w:rPr>
                <w:rFonts w:ascii="Arial" w:cs="Arial" w:eastAsia="Arial" w:hAnsi="Arial"/>
                <w:sz w:val="24"/>
                <w:szCs w:val="24"/>
                <w:rtl w:val="0"/>
              </w:rPr>
              <w:t xml:space="preserve">3/4/98</w:t>
            </w:r>
          </w:p>
        </w:tc>
      </w:tr>
      <w:tr>
        <w:tc>
          <w:tcPr>
            <w:gridSpan w:val="2"/>
          </w:tcPr>
          <w:p w:rsidR="00000000" w:rsidDel="00000000" w:rsidP="00000000" w:rsidRDefault="00000000" w:rsidRPr="00000000" w14:paraId="00000009">
            <w:pPr>
              <w:rPr>
                <w:rFonts w:ascii="Arial" w:cs="Arial" w:eastAsia="Arial" w:hAnsi="Arial"/>
                <w:sz w:val="24"/>
                <w:szCs w:val="24"/>
              </w:rPr>
            </w:pPr>
            <w:r w:rsidDel="00000000" w:rsidR="00000000" w:rsidRPr="00000000">
              <w:rPr>
                <w:rtl w:val="0"/>
              </w:rPr>
            </w:r>
          </w:p>
        </w:tc>
        <w:tc>
          <w:tcPr>
            <w:gridSpan w:val="2"/>
          </w:tcPr>
          <w:p w:rsidR="00000000" w:rsidDel="00000000" w:rsidP="00000000" w:rsidRDefault="00000000" w:rsidRPr="00000000" w14:paraId="0000000B">
            <w:pP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0D">
            <w:pPr>
              <w:rPr>
                <w:rFonts w:ascii="Arial" w:cs="Arial" w:eastAsia="Arial" w:hAnsi="Arial"/>
                <w:sz w:val="24"/>
                <w:szCs w:val="24"/>
              </w:rPr>
            </w:pPr>
            <w:r w:rsidDel="00000000" w:rsidR="00000000" w:rsidRPr="00000000">
              <w:rPr>
                <w:rtl w:val="0"/>
              </w:rPr>
            </w:r>
          </w:p>
        </w:tc>
        <w:tc>
          <w:tcPr>
            <w:gridSpan w:val="2"/>
          </w:tcPr>
          <w:p w:rsidR="00000000" w:rsidDel="00000000" w:rsidP="00000000" w:rsidRDefault="00000000" w:rsidRPr="00000000" w14:paraId="0000000E">
            <w:pPr>
              <w:rPr>
                <w:rFonts w:ascii="Arial" w:cs="Arial" w:eastAsia="Arial" w:hAnsi="Arial"/>
                <w:sz w:val="24"/>
                <w:szCs w:val="24"/>
              </w:rPr>
            </w:pPr>
            <w:r w:rsidDel="00000000" w:rsidR="00000000" w:rsidRPr="00000000">
              <w:rPr>
                <w:rtl w:val="0"/>
              </w:rPr>
            </w:r>
          </w:p>
        </w:tc>
      </w:tr>
      <w:tr>
        <w:tc>
          <w:tcPr>
            <w:gridSpan w:val="3"/>
          </w:tcPr>
          <w:p w:rsidR="00000000" w:rsidDel="00000000" w:rsidP="00000000" w:rsidRDefault="00000000" w:rsidRPr="00000000" w14:paraId="00000010">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Review Date:</w:t>
            </w:r>
          </w:p>
        </w:tc>
        <w:tc>
          <w:tcPr/>
          <w:p w:rsidR="00000000" w:rsidDel="00000000" w:rsidP="00000000" w:rsidRDefault="00000000" w:rsidRPr="00000000" w14:paraId="00000013">
            <w:pPr>
              <w:rPr>
                <w:rFonts w:ascii="Arial" w:cs="Arial" w:eastAsia="Arial" w:hAnsi="Arial"/>
                <w:sz w:val="24"/>
                <w:szCs w:val="24"/>
              </w:rPr>
            </w:pPr>
            <w:bookmarkStart w:colFirst="0" w:colLast="0" w:name="_heading=h.gjdgxs" w:id="0"/>
            <w:bookmarkEnd w:id="0"/>
            <w:r w:rsidDel="00000000" w:rsidR="00000000" w:rsidRPr="00000000">
              <w:rPr>
                <w:rFonts w:ascii="Arial" w:cs="Arial" w:eastAsia="Arial" w:hAnsi="Arial"/>
                <w:sz w:val="24"/>
                <w:szCs w:val="24"/>
                <w:rtl w:val="0"/>
              </w:rPr>
              <w:t xml:space="preserve">6/11/2021</w:t>
            </w:r>
          </w:p>
        </w:tc>
        <w:tc>
          <w:tcPr>
            <w:gridSpan w:val="2"/>
          </w:tcPr>
          <w:p w:rsidR="00000000" w:rsidDel="00000000" w:rsidP="00000000" w:rsidRDefault="00000000" w:rsidRPr="00000000" w14:paraId="00000014">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Revision Date: </w:t>
            </w:r>
            <w:r w:rsidDel="00000000" w:rsidR="00000000" w:rsidRPr="00000000">
              <w:rPr>
                <w:rFonts w:ascii="Arial" w:cs="Arial" w:eastAsia="Arial" w:hAnsi="Arial"/>
                <w:sz w:val="24"/>
                <w:szCs w:val="24"/>
                <w:rtl w:val="0"/>
              </w:rPr>
              <w:t xml:space="preserve">10/07, 1/09, 1/11, 2/15/13,6/29/2016,6/6/2017</w:t>
            </w:r>
            <w:r w:rsidDel="00000000" w:rsidR="00000000" w:rsidRPr="00000000">
              <w:rPr>
                <w:rtl w:val="0"/>
              </w:rPr>
            </w:r>
          </w:p>
        </w:tc>
        <w:tc>
          <w:tcPr/>
          <w:p w:rsidR="00000000" w:rsidDel="00000000" w:rsidP="00000000" w:rsidRDefault="00000000" w:rsidRPr="00000000" w14:paraId="00000016">
            <w:pPr>
              <w:rPr>
                <w:rFonts w:ascii="Arial" w:cs="Arial" w:eastAsia="Arial" w:hAnsi="Arial"/>
                <w:sz w:val="24"/>
                <w:szCs w:val="24"/>
              </w:rPr>
            </w:pPr>
            <w:r w:rsidDel="00000000" w:rsidR="00000000" w:rsidRPr="00000000">
              <w:rPr>
                <w:rtl w:val="0"/>
              </w:rPr>
            </w:r>
          </w:p>
        </w:tc>
      </w:tr>
      <w:tr>
        <w:tc>
          <w:tcPr>
            <w:gridSpan w:val="2"/>
          </w:tcPr>
          <w:p w:rsidR="00000000" w:rsidDel="00000000" w:rsidP="00000000" w:rsidRDefault="00000000" w:rsidRPr="00000000" w14:paraId="00000017">
            <w:pPr>
              <w:rPr>
                <w:rFonts w:ascii="Arial" w:cs="Arial" w:eastAsia="Arial" w:hAnsi="Arial"/>
                <w:sz w:val="24"/>
                <w:szCs w:val="24"/>
              </w:rPr>
            </w:pPr>
            <w:r w:rsidDel="00000000" w:rsidR="00000000" w:rsidRPr="00000000">
              <w:rPr>
                <w:rtl w:val="0"/>
              </w:rPr>
            </w:r>
          </w:p>
        </w:tc>
        <w:tc>
          <w:tcPr>
            <w:gridSpan w:val="2"/>
          </w:tcPr>
          <w:p w:rsidR="00000000" w:rsidDel="00000000" w:rsidP="00000000" w:rsidRDefault="00000000" w:rsidRPr="00000000" w14:paraId="00000019">
            <w:pP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1B">
            <w:pPr>
              <w:rPr>
                <w:rFonts w:ascii="Arial" w:cs="Arial" w:eastAsia="Arial" w:hAnsi="Arial"/>
                <w:sz w:val="24"/>
                <w:szCs w:val="24"/>
              </w:rPr>
            </w:pPr>
            <w:r w:rsidDel="00000000" w:rsidR="00000000" w:rsidRPr="00000000">
              <w:rPr>
                <w:rtl w:val="0"/>
              </w:rPr>
            </w:r>
          </w:p>
        </w:tc>
        <w:tc>
          <w:tcPr>
            <w:gridSpan w:val="2"/>
          </w:tcPr>
          <w:p w:rsidR="00000000" w:rsidDel="00000000" w:rsidP="00000000" w:rsidRDefault="00000000" w:rsidRPr="00000000" w14:paraId="0000001C">
            <w:pPr>
              <w:rPr>
                <w:rFonts w:ascii="Arial" w:cs="Arial" w:eastAsia="Arial" w:hAnsi="Arial"/>
                <w:sz w:val="24"/>
                <w:szCs w:val="24"/>
              </w:rPr>
            </w:pPr>
            <w:r w:rsidDel="00000000" w:rsidR="00000000" w:rsidRPr="00000000">
              <w:rPr>
                <w:rtl w:val="0"/>
              </w:rPr>
            </w:r>
          </w:p>
        </w:tc>
      </w:tr>
      <w:tr>
        <w:tc>
          <w:tcPr>
            <w:gridSpan w:val="4"/>
          </w:tcPr>
          <w:p w:rsidR="00000000" w:rsidDel="00000000" w:rsidP="00000000" w:rsidRDefault="00000000" w:rsidRPr="00000000" w14:paraId="0000001E">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Regulatory References:</w:t>
            </w:r>
          </w:p>
        </w:tc>
        <w:tc>
          <w:tcPr>
            <w:gridSpan w:val="3"/>
          </w:tcPr>
          <w:p w:rsidR="00000000" w:rsidDel="00000000" w:rsidP="00000000" w:rsidRDefault="00000000" w:rsidRPr="00000000" w14:paraId="00000022">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Cross References: </w:t>
            </w:r>
            <w:r w:rsidDel="00000000" w:rsidR="00000000" w:rsidRPr="00000000">
              <w:rPr>
                <w:rFonts w:ascii="Arial" w:cs="Arial" w:eastAsia="Arial" w:hAnsi="Arial"/>
                <w:sz w:val="24"/>
                <w:szCs w:val="24"/>
                <w:rtl w:val="0"/>
              </w:rPr>
              <w:t xml:space="preserve">Event Reporting through Quantros System ADM-24-005</w:t>
            </w:r>
            <w:r w:rsidDel="00000000" w:rsidR="00000000" w:rsidRPr="00000000">
              <w:rPr>
                <w:rtl w:val="0"/>
              </w:rPr>
            </w:r>
          </w:p>
        </w:tc>
      </w:tr>
      <w:tr>
        <w:trPr>
          <w:trHeight w:val="567" w:hRule="atLeast"/>
        </w:trPr>
        <w:tc>
          <w:tcPr>
            <w:gridSpan w:val="4"/>
          </w:tcPr>
          <w:p w:rsidR="00000000" w:rsidDel="00000000" w:rsidP="00000000" w:rsidRDefault="00000000" w:rsidRPr="00000000" w14:paraId="00000025">
            <w:pPr>
              <w:rPr>
                <w:rFonts w:ascii="Arial" w:cs="Arial" w:eastAsia="Arial" w:hAnsi="Arial"/>
                <w:i w:val="1"/>
                <w:sz w:val="24"/>
                <w:szCs w:val="24"/>
              </w:rPr>
            </w:pPr>
            <w:r w:rsidDel="00000000" w:rsidR="00000000" w:rsidRPr="00000000">
              <w:rPr>
                <w:rtl w:val="0"/>
              </w:rPr>
            </w:r>
          </w:p>
        </w:tc>
        <w:tc>
          <w:tcPr>
            <w:gridSpan w:val="3"/>
          </w:tcPr>
          <w:p w:rsidR="00000000" w:rsidDel="00000000" w:rsidP="00000000" w:rsidRDefault="00000000" w:rsidRPr="00000000" w14:paraId="00000029">
            <w:pPr>
              <w:rPr>
                <w:rFonts w:ascii="Arial" w:cs="Arial" w:eastAsia="Arial" w:hAnsi="Arial"/>
                <w:b w:val="1"/>
                <w:i w:val="1"/>
                <w:sz w:val="24"/>
                <w:szCs w:val="24"/>
              </w:rPr>
            </w:pPr>
            <w:r w:rsidDel="00000000" w:rsidR="00000000" w:rsidRPr="00000000">
              <w:rPr>
                <w:rFonts w:ascii="Arial" w:cs="Arial" w:eastAsia="Arial" w:hAnsi="Arial"/>
                <w:b w:val="1"/>
                <w:i w:val="1"/>
                <w:sz w:val="24"/>
                <w:szCs w:val="24"/>
                <w:rtl w:val="0"/>
              </w:rPr>
              <w:t xml:space="preserve">   </w:t>
            </w:r>
          </w:p>
          <w:p w:rsidR="00000000" w:rsidDel="00000000" w:rsidP="00000000" w:rsidRDefault="00000000" w:rsidRPr="00000000" w14:paraId="0000002A">
            <w:pPr>
              <w:rPr>
                <w:rFonts w:ascii="Arial" w:cs="Arial" w:eastAsia="Arial" w:hAnsi="Arial"/>
                <w:b w:val="1"/>
                <w:i w:val="1"/>
                <w:sz w:val="24"/>
                <w:szCs w:val="24"/>
              </w:rPr>
            </w:pPr>
            <w:r w:rsidDel="00000000" w:rsidR="00000000" w:rsidRPr="00000000">
              <w:rPr>
                <w:rtl w:val="0"/>
              </w:rPr>
            </w:r>
          </w:p>
        </w:tc>
      </w:tr>
    </w:tbl>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sz w:val="24"/>
          <w:szCs w:val="24"/>
        </w:rPr>
      </w:pPr>
      <w:r w:rsidDel="00000000" w:rsidR="00000000" w:rsidRPr="00000000">
        <w:rPr>
          <w:rtl w:val="0"/>
        </w:rPr>
      </w:r>
    </w:p>
    <w:p w:rsidR="00000000" w:rsidDel="00000000" w:rsidP="00000000" w:rsidRDefault="00000000" w:rsidRPr="00000000" w14:paraId="0000002F">
      <w:pPr>
        <w:tabs>
          <w:tab w:val="left" w:pos="-720"/>
        </w:tabs>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POLICY &amp; DEFINITION</w:t>
      </w:r>
    </w:p>
    <w:p w:rsidR="00000000" w:rsidDel="00000000" w:rsidP="00000000" w:rsidRDefault="00000000" w:rsidRPr="00000000" w14:paraId="00000030">
      <w:pPr>
        <w:tabs>
          <w:tab w:val="left" w:pos="-720"/>
        </w:tabs>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1">
      <w:pPr>
        <w:tabs>
          <w:tab w:val="left" w:pos="-720"/>
        </w:tabs>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SYNCOPE:</w:t>
      </w:r>
    </w:p>
    <w:p w:rsidR="00000000" w:rsidDel="00000000" w:rsidP="00000000" w:rsidRDefault="00000000" w:rsidRPr="00000000" w14:paraId="00000032">
      <w:pPr>
        <w:tabs>
          <w:tab w:val="left" w:pos="-720"/>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During or after drawing blood, a patient may faint or experience a period of unconsciousness.  Should this happen, the following steps are to be followed:</w:t>
      </w:r>
    </w:p>
    <w:p w:rsidR="00000000" w:rsidDel="00000000" w:rsidP="00000000" w:rsidRDefault="00000000" w:rsidRPr="00000000" w14:paraId="00000033">
      <w:pPr>
        <w:tabs>
          <w:tab w:val="left" w:pos="-720"/>
        </w:tabs>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numPr>
          <w:ilvl w:val="0"/>
          <w:numId w:val="1"/>
        </w:numPr>
        <w:tabs>
          <w:tab w:val="left" w:pos="-720"/>
        </w:tabs>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Immediately discontinue the venipuncture.</w:t>
      </w:r>
    </w:p>
    <w:p w:rsidR="00000000" w:rsidDel="00000000" w:rsidP="00000000" w:rsidRDefault="00000000" w:rsidRPr="00000000" w14:paraId="00000035">
      <w:pPr>
        <w:tabs>
          <w:tab w:val="left" w:pos="-720"/>
        </w:tabs>
        <w:ind w:left="36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numPr>
          <w:ilvl w:val="0"/>
          <w:numId w:val="1"/>
        </w:numPr>
        <w:tabs>
          <w:tab w:val="left" w:pos="-720"/>
        </w:tabs>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Recline the phlebotomy chair to lay the patient prone.  If a phlebotomy chair is not being used, lean the patient forward, placing the head between the knees, making certain to hold them in the chair.  If the patient was standing, lay them down on the floor.  </w:t>
      </w:r>
    </w:p>
    <w:p w:rsidR="00000000" w:rsidDel="00000000" w:rsidP="00000000" w:rsidRDefault="00000000" w:rsidRPr="00000000" w14:paraId="00000037">
      <w:pPr>
        <w:tabs>
          <w:tab w:val="left" w:pos="-720"/>
        </w:tabs>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numPr>
          <w:ilvl w:val="0"/>
          <w:numId w:val="1"/>
        </w:numPr>
        <w:tabs>
          <w:tab w:val="left" w:pos="-720"/>
        </w:tabs>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Apply a cold compress to the back of the neck or on the forehead.  Provide the patient with a cool drink (water or orange juice) and crackers if needed.</w:t>
      </w:r>
    </w:p>
    <w:p w:rsidR="00000000" w:rsidDel="00000000" w:rsidP="00000000" w:rsidRDefault="00000000" w:rsidRPr="00000000" w14:paraId="00000039">
      <w:pPr>
        <w:tabs>
          <w:tab w:val="left" w:pos="-720"/>
        </w:tabs>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numPr>
          <w:ilvl w:val="0"/>
          <w:numId w:val="1"/>
        </w:numPr>
        <w:tabs>
          <w:tab w:val="left" w:pos="-720"/>
        </w:tabs>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Offer the patient the services of an onsite Physician/Practitioner</w:t>
      </w:r>
      <w:r w:rsidDel="00000000" w:rsidR="00000000" w:rsidRPr="00000000">
        <w:rPr>
          <w:rFonts w:ascii="Times New Roman" w:cs="Times New Roman" w:eastAsia="Times New Roman" w:hAnsi="Times New Roman"/>
          <w:sz w:val="24"/>
          <w:szCs w:val="24"/>
          <w:rtl w:val="0"/>
        </w:rPr>
        <w:t xml:space="preserve">.  If they decline, make sure the patient is alert and feeling well before they get back on their feet and leave.</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C">
      <w:pPr>
        <w:numPr>
          <w:ilvl w:val="0"/>
          <w:numId w:val="1"/>
        </w:numPr>
        <w:tabs>
          <w:tab w:val="left" w:pos="-720"/>
        </w:tabs>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Laboratory Clinical Manager of the Phlebotomy Department or designee will either check the patient’s ER discharge status, if they went to the ER, or make a follow up call to the patient the next working day to check on the patient’s status if they declined services.</w:t>
      </w:r>
    </w:p>
    <w:p w:rsidR="00000000" w:rsidDel="00000000" w:rsidP="00000000" w:rsidRDefault="00000000" w:rsidRPr="00000000" w14:paraId="0000003D">
      <w:pPr>
        <w:tabs>
          <w:tab w:val="left" w:pos="-720"/>
        </w:tabs>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numPr>
          <w:ilvl w:val="0"/>
          <w:numId w:val="1"/>
        </w:numPr>
        <w:tabs>
          <w:tab w:val="left" w:pos="-720"/>
        </w:tabs>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the patient fainted or went to the ER, the Laboratory Clinical Manager of the Phlebotomy Department or designee will enter the incident and follow up results into the Event Reporting System.</w:t>
      </w:r>
    </w:p>
    <w:p w:rsidR="00000000" w:rsidDel="00000000" w:rsidP="00000000" w:rsidRDefault="00000000" w:rsidRPr="00000000" w14:paraId="0000003F">
      <w:pPr>
        <w:tabs>
          <w:tab w:val="left" w:pos="-720"/>
        </w:tabs>
        <w:ind w:left="36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numPr>
          <w:ilvl w:val="0"/>
          <w:numId w:val="1"/>
        </w:numPr>
        <w:tabs>
          <w:tab w:val="left" w:pos="-720"/>
        </w:tabs>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Using the ERS system, the QA coordinator will trend incidents and report as needed.</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2">
      <w:pPr>
        <w:numPr>
          <w:ilvl w:val="0"/>
          <w:numId w:val="1"/>
        </w:numPr>
        <w:tabs>
          <w:tab w:val="left" w:pos="-720"/>
        </w:tabs>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Primary Care sites will follow the same protocol and will forward the information to the Clinical Manager of Phlebotomy who will make the follow up calls, enter the incident into the current event reporting system if needed.   Using the event reporting system, the QA coordinator will trend incidents and report as needed</w:t>
      </w:r>
    </w:p>
    <w:p w:rsidR="00000000" w:rsidDel="00000000" w:rsidP="00000000" w:rsidRDefault="00000000" w:rsidRPr="00000000" w14:paraId="00000043">
      <w:pPr>
        <w:tabs>
          <w:tab w:val="left" w:pos="-720"/>
        </w:tabs>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4">
      <w:pPr>
        <w:tabs>
          <w:tab w:val="left" w:pos="-720"/>
        </w:tabs>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5">
      <w:pPr>
        <w:tabs>
          <w:tab w:val="left" w:pos="-720"/>
        </w:tabs>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BRUISING:</w:t>
      </w:r>
    </w:p>
    <w:p w:rsidR="00000000" w:rsidDel="00000000" w:rsidP="00000000" w:rsidRDefault="00000000" w:rsidRPr="00000000" w14:paraId="00000046">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a patient presents to the laboratory with a complaint about having developed a bruise after the venipuncture, notify the Clinical Manager of Phlebotomy to assess the venipuncture area.   If the Clinical Manager is not available, contact the designee.  A pathologist will be contacted if warranted.  If it is after hours call the Clinical Nurse Manager to do the assessment.</w:t>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the complaint is reported via phone call or other method, the Clinical Manager of Phlebotomy or designee will speak directly to the complainant and offer an assessment by a pathologist or suggest a follow up with their primary care provider.  They will also instruct the patient to call back within 2 days if the problem persists or worsens.</w:t>
      </w:r>
    </w:p>
    <w:p w:rsidR="00000000" w:rsidDel="00000000" w:rsidP="00000000" w:rsidRDefault="00000000" w:rsidRPr="00000000" w14:paraId="00000049">
      <w:pPr>
        <w:tabs>
          <w:tab w:val="left" w:pos="-720"/>
        </w:tabs>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A">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details of the incident and results of the follow up results with be documented in the Event Reporting System.  NOTE: The attached Patient Incident Form can be used to gather data for entry into the event reporting system or be used if the system is down.</w:t>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C">
      <w:pPr>
        <w:numPr>
          <w:ilvl w:val="0"/>
          <w:numId w:val="2"/>
        </w:numPr>
        <w:tabs>
          <w:tab w:val="left" w:pos="-720"/>
        </w:tabs>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Document the Patient Incident in the event reporting system.  The QA Coordinator will use the event reporting system to trend incidents and report as needed.</w:t>
      </w:r>
    </w:p>
    <w:p w:rsidR="00000000" w:rsidDel="00000000" w:rsidP="00000000" w:rsidRDefault="00000000" w:rsidRPr="00000000" w14:paraId="0000004D">
      <w:pPr>
        <w:tabs>
          <w:tab w:val="left" w:pos="-720"/>
        </w:tabs>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E">
      <w:pPr>
        <w:tabs>
          <w:tab w:val="left" w:pos="-720"/>
        </w:tabs>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F">
      <w:pPr>
        <w:tabs>
          <w:tab w:val="left" w:pos="-720"/>
        </w:tabs>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0">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Electronic Authorizations:</w:t>
      </w:r>
    </w:p>
    <w:p w:rsidR="00000000" w:rsidDel="00000000" w:rsidP="00000000" w:rsidRDefault="00000000" w:rsidRPr="00000000" w14:paraId="0000005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Michael Zur, MD, Medical Director of Laboratory</w:t>
      </w:r>
    </w:p>
    <w:p w:rsidR="00000000" w:rsidDel="00000000" w:rsidP="00000000" w:rsidRDefault="00000000" w:rsidRPr="00000000" w14:paraId="0000005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Lina Ramli, MSM,BS,MT(ASCP), Administrative Director of Laboratory</w:t>
      </w:r>
    </w:p>
    <w:p w:rsidR="00000000" w:rsidDel="00000000" w:rsidP="00000000" w:rsidRDefault="00000000" w:rsidRPr="00000000" w14:paraId="00000055">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8"/>
          <w:szCs w:val="28"/>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5840" w:w="12240" w:orient="portrait"/>
      <w:pgMar w:bottom="360" w:top="72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Page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of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C360:Lab: General Laboratory: Syncope/Bruising/Venipuncture Issues</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6">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Our Lady of Lourdes Memorial Hospital</w:t>
    </w:r>
  </w:p>
  <w:p w:rsidR="00000000" w:rsidDel="00000000" w:rsidP="00000000" w:rsidRDefault="00000000" w:rsidRPr="00000000" w14:paraId="00000057">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Binghamton, New York</w:t>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Laboratory Policy and Procedure Manual</w:t>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New Roman" w:cs="Times New Roman" w:eastAsia="Times New Roman" w:hAnsi="Times New Roman"/>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035D98"/>
  </w:style>
  <w:style w:type="paragraph" w:styleId="Heading2">
    <w:name w:val="heading 2"/>
    <w:basedOn w:val="Normal"/>
    <w:link w:val="Heading2Char"/>
    <w:uiPriority w:val="9"/>
    <w:qFormat w:val="1"/>
    <w:rsid w:val="00E63ED7"/>
    <w:pPr>
      <w:spacing w:after="100" w:afterAutospacing="1" w:before="100" w:beforeAutospacing="1"/>
      <w:outlineLvl w:val="1"/>
    </w:pPr>
    <w:rPr>
      <w:rFonts w:ascii="Times New Roman" w:cs="Times New Roman" w:eastAsia="Times New Roman" w:hAnsi="Times New Roman"/>
      <w:b w:val="1"/>
      <w:bCs w:val="1"/>
      <w:sz w:val="36"/>
      <w:szCs w:val="3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C43605"/>
    <w:pPr>
      <w:tabs>
        <w:tab w:val="center" w:pos="4680"/>
        <w:tab w:val="right" w:pos="9360"/>
      </w:tabs>
    </w:pPr>
  </w:style>
  <w:style w:type="character" w:styleId="HeaderChar" w:customStyle="1">
    <w:name w:val="Header Char"/>
    <w:basedOn w:val="DefaultParagraphFont"/>
    <w:link w:val="Header"/>
    <w:uiPriority w:val="99"/>
    <w:rsid w:val="00C43605"/>
  </w:style>
  <w:style w:type="paragraph" w:styleId="Footer">
    <w:name w:val="footer"/>
    <w:basedOn w:val="Normal"/>
    <w:link w:val="FooterChar"/>
    <w:uiPriority w:val="99"/>
    <w:unhideWhenUsed w:val="1"/>
    <w:rsid w:val="00C43605"/>
    <w:pPr>
      <w:tabs>
        <w:tab w:val="center" w:pos="4680"/>
        <w:tab w:val="right" w:pos="9360"/>
      </w:tabs>
    </w:pPr>
  </w:style>
  <w:style w:type="character" w:styleId="FooterChar" w:customStyle="1">
    <w:name w:val="Footer Char"/>
    <w:basedOn w:val="DefaultParagraphFont"/>
    <w:link w:val="Footer"/>
    <w:uiPriority w:val="99"/>
    <w:rsid w:val="00C43605"/>
  </w:style>
  <w:style w:type="paragraph" w:styleId="BalloonText">
    <w:name w:val="Balloon Text"/>
    <w:basedOn w:val="Normal"/>
    <w:link w:val="BalloonTextChar"/>
    <w:uiPriority w:val="99"/>
    <w:semiHidden w:val="1"/>
    <w:unhideWhenUsed w:val="1"/>
    <w:rsid w:val="00C43605"/>
    <w:rPr>
      <w:rFonts w:ascii="Tahoma" w:cs="Tahoma" w:hAnsi="Tahoma"/>
      <w:sz w:val="16"/>
      <w:szCs w:val="16"/>
    </w:rPr>
  </w:style>
  <w:style w:type="character" w:styleId="BalloonTextChar" w:customStyle="1">
    <w:name w:val="Balloon Text Char"/>
    <w:basedOn w:val="DefaultParagraphFont"/>
    <w:link w:val="BalloonText"/>
    <w:uiPriority w:val="99"/>
    <w:semiHidden w:val="1"/>
    <w:rsid w:val="00C43605"/>
    <w:rPr>
      <w:rFonts w:ascii="Tahoma" w:cs="Tahoma" w:hAnsi="Tahoma"/>
      <w:sz w:val="16"/>
      <w:szCs w:val="16"/>
    </w:rPr>
  </w:style>
  <w:style w:type="table" w:styleId="TableGrid">
    <w:name w:val="Table Grid"/>
    <w:basedOn w:val="TableNormal"/>
    <w:uiPriority w:val="59"/>
    <w:rsid w:val="00C43605"/>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NormalWeb">
    <w:name w:val="Normal (Web)"/>
    <w:basedOn w:val="Normal"/>
    <w:uiPriority w:val="99"/>
    <w:semiHidden w:val="1"/>
    <w:unhideWhenUsed w:val="1"/>
    <w:rsid w:val="00E63ED7"/>
    <w:pPr>
      <w:spacing w:after="100" w:afterAutospacing="1" w:before="100" w:beforeAutospacing="1"/>
    </w:pPr>
    <w:rPr>
      <w:rFonts w:ascii="Times New Roman" w:cs="Times New Roman" w:eastAsia="Times New Roman" w:hAnsi="Times New Roman"/>
      <w:sz w:val="24"/>
      <w:szCs w:val="24"/>
    </w:rPr>
  </w:style>
  <w:style w:type="character" w:styleId="apple-converted-space" w:customStyle="1">
    <w:name w:val="apple-converted-space"/>
    <w:basedOn w:val="DefaultParagraphFont"/>
    <w:rsid w:val="00E63ED7"/>
  </w:style>
  <w:style w:type="character" w:styleId="Hyperlink">
    <w:name w:val="Hyperlink"/>
    <w:basedOn w:val="DefaultParagraphFont"/>
    <w:uiPriority w:val="99"/>
    <w:unhideWhenUsed w:val="1"/>
    <w:rsid w:val="00E63ED7"/>
    <w:rPr>
      <w:color w:val="0000ff"/>
      <w:u w:val="single"/>
    </w:rPr>
  </w:style>
  <w:style w:type="character" w:styleId="Heading2Char" w:customStyle="1">
    <w:name w:val="Heading 2 Char"/>
    <w:basedOn w:val="DefaultParagraphFont"/>
    <w:link w:val="Heading2"/>
    <w:uiPriority w:val="9"/>
    <w:rsid w:val="00E63ED7"/>
    <w:rPr>
      <w:rFonts w:ascii="Times New Roman" w:cs="Times New Roman" w:eastAsia="Times New Roman" w:hAnsi="Times New Roman"/>
      <w:b w:val="1"/>
      <w:bCs w:val="1"/>
      <w:sz w:val="36"/>
      <w:szCs w:val="36"/>
    </w:rPr>
  </w:style>
  <w:style w:type="character" w:styleId="mw-headline" w:customStyle="1">
    <w:name w:val="mw-headline"/>
    <w:basedOn w:val="DefaultParagraphFont"/>
    <w:rsid w:val="00E63ED7"/>
  </w:style>
  <w:style w:type="character" w:styleId="mw-editsection" w:customStyle="1">
    <w:name w:val="mw-editsection"/>
    <w:basedOn w:val="DefaultParagraphFont"/>
    <w:rsid w:val="00E63ED7"/>
  </w:style>
  <w:style w:type="character" w:styleId="mw-editsection-bracket" w:customStyle="1">
    <w:name w:val="mw-editsection-bracket"/>
    <w:basedOn w:val="DefaultParagraphFont"/>
    <w:rsid w:val="00E63ED7"/>
  </w:style>
  <w:style w:type="paragraph" w:styleId="ListParagraph">
    <w:name w:val="List Paragraph"/>
    <w:basedOn w:val="Normal"/>
    <w:uiPriority w:val="34"/>
    <w:qFormat w:val="1"/>
    <w:rsid w:val="00A7768C"/>
    <w:pPr>
      <w:ind w:left="720"/>
      <w:contextualSpacing w:val="1"/>
    </w:pPr>
  </w:style>
  <w:style w:type="character" w:styleId="z-label4" w:customStyle="1">
    <w:name w:val="z-label4"/>
    <w:basedOn w:val="DefaultParagraphFont"/>
    <w:rsid w:val="00246792"/>
    <w:rPr>
      <w:rFonts w:ascii="Arial" w:cs="Arial" w:hAnsi="Arial" w:hint="default"/>
      <w:b w:val="0"/>
      <w:bCs w:val="0"/>
      <w:sz w:val="18"/>
      <w:szCs w:val="18"/>
    </w:rPr>
  </w:style>
  <w:style w:type="character" w:styleId="z-label5" w:customStyle="1">
    <w:name w:val="z-label5"/>
    <w:basedOn w:val="DefaultParagraphFont"/>
    <w:rsid w:val="00246792"/>
    <w:rPr>
      <w:rFonts w:ascii="Arial" w:cs="Arial" w:hAnsi="Arial" w:hint="default"/>
      <w:b w:val="0"/>
      <w:bCs w:val="0"/>
      <w:sz w:val="18"/>
      <w:szCs w:val="18"/>
    </w:rPr>
  </w:style>
  <w:style w:type="character" w:styleId="z-label6" w:customStyle="1">
    <w:name w:val="z-label6"/>
    <w:basedOn w:val="DefaultParagraphFont"/>
    <w:rsid w:val="00246792"/>
    <w:rPr>
      <w:rFonts w:ascii="Arial" w:cs="Arial" w:hAnsi="Arial" w:hint="default"/>
      <w:b w:val="0"/>
      <w:bCs w:val="0"/>
      <w:sz w:val="18"/>
      <w:szCs w:val="1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ZDZKkeWz/j5M5mqnWA2OHTqn/2g==">AMUW2mWDdZlg9wLPsvetTEjivoQ1Qjg/4L2WQLQl/PbcrNRJfuhwOhhylQ9MnC821MLw808wCM6Rqg5mUoKtCkkDcKwruhw2Y/JyxF48hkVKCkUqrk443qA7Tu/14I+NnfMsHnYeMqSZ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2014-05-05T15:48:00Z</dcterms:created>
  <dc:creator>Dianne DJ Jones</dc:creator>
</cp:coreProperties>
</file>