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38"/>
        <w:gridCol w:w="3433"/>
        <w:gridCol w:w="2120"/>
        <w:gridCol w:w="3251"/>
        <w:tblGridChange w:id="0">
          <w:tblGrid>
            <w:gridCol w:w="1938"/>
            <w:gridCol w:w="3433"/>
            <w:gridCol w:w="2120"/>
            <w:gridCol w:w="3251"/>
          </w:tblGrid>
        </w:tblGridChange>
      </w:tblGrid>
      <w:tr>
        <w:trPr>
          <w:trHeight w:val="86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SUBJECT: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Nursing Home Test Collection Stat 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ORIGIN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February 1999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REVIEWED: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1/20/2021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REVISED: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5/2/2014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REGULATORY REFERENCES: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CROSS REFFERENCES: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Pathology and Laboratory Policy Manual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POLICY: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tests listed below may be ordered on a STAT basis.  All other requests will be performed on the scheduled collection days for the Nursing Home. </w:t>
      </w:r>
    </w:p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6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0"/>
        <w:gridCol w:w="2830"/>
        <w:tblGridChange w:id="0">
          <w:tblGrid>
            <w:gridCol w:w="2830"/>
            <w:gridCol w:w="2830"/>
          </w:tblGrid>
        </w:tblGridChange>
      </w:tblGrid>
      <w:tr>
        <w:trPr>
          <w:trHeight w:val="376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Acetaminophen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Gentamicin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Ammonia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Glucose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Blood 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Phenobarb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BNP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PT/INR/APTT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CMP/BMP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Theophylline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Troponin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Digoxin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Type &amp; Crossmatch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Dilantin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Valproic Acid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Electrolytes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Vancomycin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ELECTRONIC AUTHORIZATIONS: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Michael Zur, MD, Medical Director, Pathology / Laboratory</w:t>
      </w:r>
    </w:p>
    <w:p w:rsidR="00000000" w:rsidDel="00000000" w:rsidP="00000000" w:rsidRDefault="00000000" w:rsidRPr="00000000" w14:paraId="0000003A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Kelly Rutter, MT, ASCP, Phlebotomy and Client Services Supervisor</w:t>
      </w:r>
    </w:p>
    <w:p w:rsidR="00000000" w:rsidDel="00000000" w:rsidP="00000000" w:rsidRDefault="00000000" w:rsidRPr="00000000" w14:paraId="0000003B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C360/Laboratory/Collection/Nursing Home Stat List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left" w:pos="1358"/>
        <w:tab w:val="center" w:pos="4680"/>
      </w:tabs>
      <w:jc w:val="center"/>
      <w:rPr>
        <w:b w:val="0"/>
        <w:sz w:val="24"/>
        <w:szCs w:val="24"/>
        <w:vertAlign w:val="baseline"/>
      </w:rPr>
    </w:pPr>
    <w:r w:rsidDel="00000000" w:rsidR="00000000" w:rsidRPr="00000000">
      <w:rPr>
        <w:b w:val="1"/>
        <w:sz w:val="24"/>
        <w:szCs w:val="24"/>
        <w:vertAlign w:val="baseline"/>
        <w:rtl w:val="0"/>
      </w:rPr>
      <w:t xml:space="preserve">OUR LADY OF LOURDES MEMORIAL HOSPITAL, INC.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>
        <w:b w:val="0"/>
        <w:sz w:val="24"/>
        <w:szCs w:val="24"/>
        <w:vertAlign w:val="baseline"/>
      </w:rPr>
    </w:pPr>
    <w:r w:rsidDel="00000000" w:rsidR="00000000" w:rsidRPr="00000000">
      <w:rPr>
        <w:b w:val="1"/>
        <w:sz w:val="24"/>
        <w:szCs w:val="24"/>
        <w:vertAlign w:val="baseline"/>
        <w:rtl w:val="0"/>
      </w:rPr>
      <w:t xml:space="preserve">Binghamton, New York 13905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PATHOLOGY and LABORATORY POLICY MANUAL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